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E17"/>
          <w:sz w:val="40"/>
        </w:rPr>
        <w:t>Attendance Point System</w:t>
      </w:r>
    </w:p>
    <w:p>
      <w:r>
        <w:rPr>
          <w:color w:val="5B6676"/>
          <w:sz w:val="19"/>
        </w:rPr>
        <w:t>Policy, point values, thresholds, occurrence tracker and protected-absence checklist</w:t>
      </w:r>
    </w:p>
    <w:p>
      <w:pPr>
        <w:spacing w:before="200"/>
      </w:pPr>
      <w:r>
        <w:rPr>
          <w:b/>
          <w:color w:val="0B46E0"/>
          <w:sz w:val="26"/>
        </w:rPr>
        <w:t>Attendance point system policy</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Company</w:t>
            </w:r>
          </w:p>
        </w:tc>
        <w:tc>
          <w:tcPr>
            <w:tcW w:type="dxa" w:w="6520"/>
          </w:tcPr>
          <w:p>
            <w:r/>
            <w:r>
              <w:rPr>
                <w:color w:val="8B94A5"/>
                <w:sz w:val="19"/>
              </w:rPr>
            </w:r>
          </w:p>
        </w:tc>
      </w:tr>
      <w:tr>
        <w:tc>
          <w:tcPr>
            <w:tcW w:type="dxa" w:w="3118"/>
            <w:shd w:val="clear" w:color="auto" w:fill="F5F7FA"/>
          </w:tcPr>
          <w:p>
            <w:r/>
            <w:r>
              <w:rPr>
                <w:b/>
                <w:sz w:val="19"/>
              </w:rPr>
              <w:t>Effective date</w:t>
            </w:r>
          </w:p>
        </w:tc>
        <w:tc>
          <w:tcPr>
            <w:tcW w:type="dxa" w:w="6520"/>
          </w:tcPr>
          <w:p>
            <w:r/>
            <w:r>
              <w:rPr>
                <w:color w:val="8B94A5"/>
                <w:sz w:val="19"/>
              </w:rPr>
            </w:r>
          </w:p>
        </w:tc>
      </w:tr>
      <w:tr>
        <w:tc>
          <w:tcPr>
            <w:tcW w:type="dxa" w:w="3118"/>
            <w:shd w:val="clear" w:color="auto" w:fill="F5F7FA"/>
          </w:tcPr>
          <w:p>
            <w:r/>
            <w:r>
              <w:rPr>
                <w:b/>
                <w:sz w:val="19"/>
              </w:rPr>
              <w:t>Applies to</w:t>
            </w:r>
          </w:p>
        </w:tc>
        <w:tc>
          <w:tcPr>
            <w:tcW w:type="dxa" w:w="6520"/>
          </w:tcPr>
          <w:p>
            <w:r/>
            <w:r>
              <w:rPr>
                <w:color w:val="8B94A5"/>
                <w:sz w:val="19"/>
              </w:rPr>
              <w:t>Non-exempt employees in [departments]</w:t>
            </w:r>
          </w:p>
        </w:tc>
      </w:tr>
    </w:tbl>
    <w:p/>
    <w:p>
      <w:pPr>
        <w:spacing w:before="200"/>
      </w:pPr>
      <w:r>
        <w:rPr>
          <w:b/>
          <w:color w:val="0B46E0"/>
          <w:sz w:val="26"/>
        </w:rPr>
        <w:t>1. Purpose</w:t>
      </w:r>
    </w:p>
    <w:p>
      <w:r>
        <w:t>This policy sets out how attendance occurrences are recorded, the points each carries, and the steps that follow at each threshold. It applies consistently to all covered employees and never counts absences protected by law.</w:t>
      </w:r>
    </w:p>
    <w:p>
      <w:pPr>
        <w:spacing w:before="200"/>
      </w:pPr>
      <w:r>
        <w:rPr>
          <w:b/>
          <w:color w:val="0B46E0"/>
          <w:sz w:val="26"/>
        </w:rPr>
        <w:t>2. Reporting</w:t>
      </w:r>
    </w:p>
    <w:p>
      <w:r>
        <w:t>Employees who will be absent or late must notify their supervisor by [method] at least [60 minutes] before the shift starts, or as soon as practicable in an emergency.</w:t>
      </w:r>
    </w:p>
    <w:p>
      <w:pPr>
        <w:spacing w:before="200"/>
      </w:pPr>
      <w:r>
        <w:rPr>
          <w:b/>
          <w:color w:val="0B46E0"/>
          <w:sz w:val="26"/>
        </w:rPr>
        <w:t>3. Point values</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EEF2FF"/>
          </w:tcPr>
          <w:p>
            <w:r/>
            <w:r>
              <w:rPr>
                <w:b/>
                <w:sz w:val="19"/>
              </w:rPr>
              <w:t>Occurrence</w:t>
            </w:r>
          </w:p>
        </w:tc>
        <w:tc>
          <w:tcPr>
            <w:tcW w:type="dxa" w:w="4986"/>
            <w:shd w:val="clear" w:color="auto" w:fill="EEF2FF"/>
          </w:tcPr>
          <w:p>
            <w:r/>
            <w:r>
              <w:rPr>
                <w:b/>
                <w:sz w:val="19"/>
              </w:rPr>
              <w:t>Points</w:t>
            </w:r>
          </w:p>
        </w:tc>
      </w:tr>
      <w:tr>
        <w:tc>
          <w:tcPr>
            <w:tcW w:type="dxa" w:w="4986"/>
          </w:tcPr>
          <w:p>
            <w:r/>
            <w:r>
              <w:rPr>
                <w:sz w:val="19"/>
              </w:rPr>
              <w:t>Late arrival, 1 to 15 minutes</w:t>
            </w:r>
          </w:p>
        </w:tc>
        <w:tc>
          <w:tcPr>
            <w:tcW w:type="dxa" w:w="4986"/>
          </w:tcPr>
          <w:p>
            <w:r/>
            <w:r>
              <w:rPr>
                <w:sz w:val="19"/>
              </w:rPr>
              <w:t>0.5</w:t>
            </w:r>
          </w:p>
        </w:tc>
      </w:tr>
      <w:tr>
        <w:tc>
          <w:tcPr>
            <w:tcW w:type="dxa" w:w="4986"/>
          </w:tcPr>
          <w:p>
            <w:r/>
            <w:r>
              <w:rPr>
                <w:sz w:val="19"/>
              </w:rPr>
              <w:t>Late arrival, over 15 minutes</w:t>
            </w:r>
          </w:p>
        </w:tc>
        <w:tc>
          <w:tcPr>
            <w:tcW w:type="dxa" w:w="4986"/>
          </w:tcPr>
          <w:p>
            <w:r/>
            <w:r>
              <w:rPr>
                <w:sz w:val="19"/>
              </w:rPr>
              <w:t>1</w:t>
            </w:r>
          </w:p>
        </w:tc>
      </w:tr>
      <w:tr>
        <w:tc>
          <w:tcPr>
            <w:tcW w:type="dxa" w:w="4986"/>
          </w:tcPr>
          <w:p>
            <w:r/>
            <w:r>
              <w:rPr>
                <w:sz w:val="19"/>
              </w:rPr>
              <w:t>Leaving early without approval</w:t>
            </w:r>
          </w:p>
        </w:tc>
        <w:tc>
          <w:tcPr>
            <w:tcW w:type="dxa" w:w="4986"/>
          </w:tcPr>
          <w:p>
            <w:r/>
            <w:r>
              <w:rPr>
                <w:sz w:val="19"/>
              </w:rPr>
              <w:t>0.5</w:t>
            </w:r>
          </w:p>
        </w:tc>
      </w:tr>
      <w:tr>
        <w:tc>
          <w:tcPr>
            <w:tcW w:type="dxa" w:w="4986"/>
          </w:tcPr>
          <w:p>
            <w:r/>
            <w:r>
              <w:rPr>
                <w:sz w:val="19"/>
              </w:rPr>
              <w:t>Unscheduled absence, reported</w:t>
            </w:r>
          </w:p>
        </w:tc>
        <w:tc>
          <w:tcPr>
            <w:tcW w:type="dxa" w:w="4986"/>
          </w:tcPr>
          <w:p>
            <w:r/>
            <w:r>
              <w:rPr>
                <w:sz w:val="19"/>
              </w:rPr>
              <w:t>1</w:t>
            </w:r>
          </w:p>
        </w:tc>
      </w:tr>
      <w:tr>
        <w:tc>
          <w:tcPr>
            <w:tcW w:type="dxa" w:w="4986"/>
          </w:tcPr>
          <w:p>
            <w:r/>
            <w:r>
              <w:rPr>
                <w:sz w:val="19"/>
              </w:rPr>
              <w:t>Unscheduled absence, consecutive days for one illness</w:t>
            </w:r>
          </w:p>
        </w:tc>
        <w:tc>
          <w:tcPr>
            <w:tcW w:type="dxa" w:w="4986"/>
          </w:tcPr>
          <w:p>
            <w:r/>
            <w:r>
              <w:rPr>
                <w:sz w:val="19"/>
              </w:rPr>
              <w:t>1 total</w:t>
            </w:r>
          </w:p>
        </w:tc>
      </w:tr>
      <w:tr>
        <w:tc>
          <w:tcPr>
            <w:tcW w:type="dxa" w:w="4986"/>
          </w:tcPr>
          <w:p>
            <w:r/>
            <w:r>
              <w:rPr>
                <w:sz w:val="19"/>
              </w:rPr>
              <w:t>No-call no-show</w:t>
            </w:r>
          </w:p>
        </w:tc>
        <w:tc>
          <w:tcPr>
            <w:tcW w:type="dxa" w:w="4986"/>
          </w:tcPr>
          <w:p>
            <w:r/>
            <w:r>
              <w:rPr>
                <w:sz w:val="19"/>
              </w:rPr>
              <w:t>3</w:t>
            </w:r>
          </w:p>
        </w:tc>
      </w:tr>
      <w:tr>
        <w:tc>
          <w:tcPr>
            <w:tcW w:type="dxa" w:w="4986"/>
          </w:tcPr>
          <w:p>
            <w:r/>
            <w:r>
              <w:rPr>
                <w:sz w:val="19"/>
              </w:rPr>
              <w:t>Missed punch (uncorrected)</w:t>
            </w:r>
          </w:p>
        </w:tc>
        <w:tc>
          <w:tcPr>
            <w:tcW w:type="dxa" w:w="4986"/>
          </w:tcPr>
          <w:p>
            <w:r/>
            <w:r>
              <w:rPr>
                <w:sz w:val="19"/>
              </w:rPr>
              <w:t>0.5</w:t>
            </w:r>
          </w:p>
        </w:tc>
      </w:tr>
    </w:tbl>
    <w:p/>
    <w:p>
      <w:pPr>
        <w:spacing w:before="200"/>
      </w:pPr>
      <w:r>
        <w:rPr>
          <w:b/>
          <w:color w:val="0B46E0"/>
          <w:sz w:val="26"/>
        </w:rPr>
        <w:t>4. Thresholds</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EEF2FF"/>
          </w:tcPr>
          <w:p>
            <w:r/>
            <w:r>
              <w:rPr>
                <w:b/>
                <w:sz w:val="19"/>
              </w:rPr>
              <w:t>Points in rolling 12 months</w:t>
            </w:r>
          </w:p>
        </w:tc>
        <w:tc>
          <w:tcPr>
            <w:tcW w:type="dxa" w:w="4986"/>
            <w:shd w:val="clear" w:color="auto" w:fill="EEF2FF"/>
          </w:tcPr>
          <w:p>
            <w:r/>
            <w:r>
              <w:rPr>
                <w:b/>
                <w:sz w:val="19"/>
              </w:rPr>
              <w:t>Step</w:t>
            </w:r>
          </w:p>
        </w:tc>
      </w:tr>
      <w:tr>
        <w:tc>
          <w:tcPr>
            <w:tcW w:type="dxa" w:w="4986"/>
          </w:tcPr>
          <w:p>
            <w:r/>
            <w:r>
              <w:rPr>
                <w:sz w:val="19"/>
              </w:rPr>
              <w:t>3</w:t>
            </w:r>
          </w:p>
        </w:tc>
        <w:tc>
          <w:tcPr>
            <w:tcW w:type="dxa" w:w="4986"/>
          </w:tcPr>
          <w:p>
            <w:r/>
            <w:r>
              <w:rPr>
                <w:sz w:val="19"/>
              </w:rPr>
              <w:t>Documented coaching</w:t>
            </w:r>
          </w:p>
        </w:tc>
      </w:tr>
      <w:tr>
        <w:tc>
          <w:tcPr>
            <w:tcW w:type="dxa" w:w="4986"/>
          </w:tcPr>
          <w:p>
            <w:r/>
            <w:r>
              <w:rPr>
                <w:sz w:val="19"/>
              </w:rPr>
              <w:t>5</w:t>
            </w:r>
          </w:p>
        </w:tc>
        <w:tc>
          <w:tcPr>
            <w:tcW w:type="dxa" w:w="4986"/>
          </w:tcPr>
          <w:p>
            <w:r/>
            <w:r>
              <w:rPr>
                <w:sz w:val="19"/>
              </w:rPr>
              <w:t>Written warning</w:t>
            </w:r>
          </w:p>
        </w:tc>
      </w:tr>
      <w:tr>
        <w:tc>
          <w:tcPr>
            <w:tcW w:type="dxa" w:w="4986"/>
          </w:tcPr>
          <w:p>
            <w:r/>
            <w:r>
              <w:rPr>
                <w:sz w:val="19"/>
              </w:rPr>
              <w:t>7</w:t>
            </w:r>
          </w:p>
        </w:tc>
        <w:tc>
          <w:tcPr>
            <w:tcW w:type="dxa" w:w="4986"/>
          </w:tcPr>
          <w:p>
            <w:r/>
            <w:r>
              <w:rPr>
                <w:sz w:val="19"/>
              </w:rPr>
              <w:t>Final written warning</w:t>
            </w:r>
          </w:p>
        </w:tc>
      </w:tr>
      <w:tr>
        <w:tc>
          <w:tcPr>
            <w:tcW w:type="dxa" w:w="4986"/>
          </w:tcPr>
          <w:p>
            <w:r/>
            <w:r>
              <w:rPr>
                <w:sz w:val="19"/>
              </w:rPr>
              <w:t>8</w:t>
            </w:r>
          </w:p>
        </w:tc>
        <w:tc>
          <w:tcPr>
            <w:tcW w:type="dxa" w:w="4986"/>
          </w:tcPr>
          <w:p>
            <w:r/>
            <w:r>
              <w:rPr>
                <w:sz w:val="19"/>
              </w:rPr>
              <w:t>Termination</w:t>
            </w:r>
          </w:p>
        </w:tc>
      </w:tr>
    </w:tbl>
    <w:p/>
    <w:p>
      <w:pPr>
        <w:spacing w:before="200"/>
      </w:pPr>
      <w:r>
        <w:rPr>
          <w:b/>
          <w:color w:val="0B46E0"/>
          <w:sz w:val="26"/>
        </w:rPr>
        <w:t>5. Expiry and reset</w:t>
      </w:r>
    </w:p>
    <w:p>
      <w:r>
        <w:t>Points expire twelve months after the occurrence. Thirty consecutive calendar days with no occurrence removes one point. Points are not carried into a new role unless the policy applies there.</w:t>
      </w:r>
    </w:p>
    <w:p>
      <w:pPr>
        <w:spacing w:before="200"/>
      </w:pPr>
      <w:r>
        <w:rPr>
          <w:b/>
          <w:color w:val="0B46E0"/>
          <w:sz w:val="26"/>
        </w:rPr>
        <w:t>6. Absences that never earn points</w:t>
      </w:r>
    </w:p>
    <w:p>
      <w:r>
        <w:t>☐  FMLA leave and leave under state family and medical leave laws</w:t>
      </w:r>
    </w:p>
    <w:p>
      <w:r>
        <w:t>☐  Leave or absence that is a reasonable accommodation under the ADA or state disability law</w:t>
      </w:r>
    </w:p>
    <w:p>
      <w:r>
        <w:t>☐  Paid sick leave under state or local law, including for family care and safe leave</w:t>
      </w:r>
    </w:p>
    <w:p>
      <w:r>
        <w:t>☐  Pregnancy-related absence and lactation breaks</w:t>
      </w:r>
    </w:p>
    <w:p>
      <w:r>
        <w:t>☐  Military leave under USERRA</w:t>
      </w:r>
    </w:p>
    <w:p>
      <w:r>
        <w:t>☐  Jury duty, witness duty and voting</w:t>
      </w:r>
    </w:p>
    <w:p>
      <w:r>
        <w:t>☐  Workers' compensation absence</w:t>
      </w:r>
    </w:p>
    <w:p>
      <w:r>
        <w:t>☐  Leave agreed in writing by the Company</w:t>
      </w:r>
    </w:p>
    <w:p>
      <w:r>
        <w:t>☐  Weather or emergency closures declared by the Company</w:t>
      </w:r>
    </w:p>
    <w:p>
      <w:pPr>
        <w:spacing w:before="200"/>
      </w:pPr>
      <w:r>
        <w:rPr>
          <w:b/>
          <w:color w:val="0B46E0"/>
          <w:sz w:val="26"/>
        </w:rPr>
        <w:t>7. Review and appeal</w:t>
      </w:r>
    </w:p>
    <w:p>
      <w:r>
        <w:t>Employees receive a copy of each occurrence within [3] working days and may dispute it in writing within [5] working days. HR reviews disputes and corrects the record where an absence was protected or recorded in error.</w:t>
      </w:r>
    </w:p>
    <w:p>
      <w:pPr>
        <w:spacing w:before="200"/>
      </w:pPr>
      <w:r>
        <w:rPr>
          <w:b/>
          <w:color w:val="0B46E0"/>
          <w:sz w:val="26"/>
        </w:rPr>
        <w:t>8. Acknowledgement</w:t>
      </w:r>
    </w:p>
    <w:p/>
    <w:p>
      <w:r>
        <w:t>Employee: ____________________________________________    Date: ______________</w:t>
      </w:r>
    </w:p>
    <w:p>
      <w:r>
        <w:t>HR: ____________________________________________    Date: ______________</w:t>
      </w:r>
    </w:p>
    <w:p>
      <w:r>
        <w:br w:type="page"/>
      </w:r>
    </w:p>
    <w:p>
      <w:pPr>
        <w:spacing w:before="200"/>
      </w:pPr>
      <w:r>
        <w:rPr>
          <w:b/>
          <w:color w:val="0B46E0"/>
          <w:sz w:val="26"/>
        </w:rPr>
        <w:t>Occurrence tracker</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Employee</w:t>
            </w:r>
          </w:p>
        </w:tc>
        <w:tc>
          <w:tcPr>
            <w:tcW w:type="dxa" w:w="6520"/>
          </w:tcPr>
          <w:p>
            <w:r/>
            <w:r>
              <w:rPr>
                <w:color w:val="8B94A5"/>
                <w:sz w:val="19"/>
              </w:rPr>
            </w:r>
          </w:p>
        </w:tc>
      </w:tr>
      <w:tr>
        <w:tc>
          <w:tcPr>
            <w:tcW w:type="dxa" w:w="3118"/>
            <w:shd w:val="clear" w:color="auto" w:fill="F5F7FA"/>
          </w:tcPr>
          <w:p>
            <w:r/>
            <w:r>
              <w:rPr>
                <w:b/>
                <w:sz w:val="19"/>
              </w:rPr>
              <w:t>Start date</w:t>
            </w:r>
          </w:p>
        </w:tc>
        <w:tc>
          <w:tcPr>
            <w:tcW w:type="dxa" w:w="6520"/>
          </w:tcPr>
          <w:p>
            <w:r/>
            <w:r>
              <w:rPr>
                <w:color w:val="8B94A5"/>
                <w:sz w:val="19"/>
              </w:rPr>
            </w:r>
          </w:p>
        </w:tc>
      </w:tr>
    </w:tbl>
    <w:p/>
    <w:tbl>
      <w:tblPr>
        <w:tblStyle w:val="TableGrid"/>
        <w:tblW w:type="auto" w:w="0"/>
        <w:jc w:val="center"/>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108"/>
            <w:shd w:val="clear" w:color="auto" w:fill="EEF2FF"/>
          </w:tcPr>
          <w:p>
            <w:r/>
            <w:r>
              <w:rPr>
                <w:b/>
                <w:sz w:val="19"/>
              </w:rPr>
              <w:t>Date</w:t>
            </w:r>
          </w:p>
        </w:tc>
        <w:tc>
          <w:tcPr>
            <w:tcW w:type="dxa" w:w="1108"/>
            <w:shd w:val="clear" w:color="auto" w:fill="EEF2FF"/>
          </w:tcPr>
          <w:p>
            <w:r/>
            <w:r>
              <w:rPr>
                <w:b/>
                <w:sz w:val="19"/>
              </w:rPr>
              <w:t>Occurrence</w:t>
            </w:r>
          </w:p>
        </w:tc>
        <w:tc>
          <w:tcPr>
            <w:tcW w:type="dxa" w:w="1108"/>
            <w:shd w:val="clear" w:color="auto" w:fill="EEF2FF"/>
          </w:tcPr>
          <w:p>
            <w:r/>
            <w:r>
              <w:rPr>
                <w:b/>
                <w:sz w:val="19"/>
              </w:rPr>
              <w:t>Points</w:t>
            </w:r>
          </w:p>
        </w:tc>
        <w:tc>
          <w:tcPr>
            <w:tcW w:type="dxa" w:w="1108"/>
            <w:shd w:val="clear" w:color="auto" w:fill="EEF2FF"/>
          </w:tcPr>
          <w:p>
            <w:r/>
            <w:r>
              <w:rPr>
                <w:b/>
                <w:sz w:val="19"/>
              </w:rPr>
              <w:t>Protected? (Y/N)</w:t>
            </w:r>
          </w:p>
        </w:tc>
        <w:tc>
          <w:tcPr>
            <w:tcW w:type="dxa" w:w="1108"/>
            <w:shd w:val="clear" w:color="auto" w:fill="EEF2FF"/>
          </w:tcPr>
          <w:p>
            <w:r/>
            <w:r>
              <w:rPr>
                <w:b/>
                <w:sz w:val="19"/>
              </w:rPr>
              <w:t>Counted</w:t>
            </w:r>
          </w:p>
        </w:tc>
        <w:tc>
          <w:tcPr>
            <w:tcW w:type="dxa" w:w="1108"/>
            <w:shd w:val="clear" w:color="auto" w:fill="EEF2FF"/>
          </w:tcPr>
          <w:p>
            <w:r/>
            <w:r>
              <w:rPr>
                <w:b/>
                <w:sz w:val="19"/>
              </w:rPr>
              <w:t>Running total</w:t>
            </w:r>
          </w:p>
        </w:tc>
        <w:tc>
          <w:tcPr>
            <w:tcW w:type="dxa" w:w="1108"/>
            <w:shd w:val="clear" w:color="auto" w:fill="EEF2FF"/>
          </w:tcPr>
          <w:p>
            <w:r/>
            <w:r>
              <w:rPr>
                <w:b/>
                <w:sz w:val="19"/>
              </w:rPr>
              <w:t>Expires</w:t>
            </w:r>
          </w:p>
        </w:tc>
        <w:tc>
          <w:tcPr>
            <w:tcW w:type="dxa" w:w="1108"/>
            <w:shd w:val="clear" w:color="auto" w:fill="EEF2FF"/>
          </w:tcPr>
          <w:p>
            <w:r/>
            <w:r>
              <w:rPr>
                <w:b/>
                <w:sz w:val="19"/>
              </w:rPr>
              <w:t>Step taken</w:t>
            </w:r>
          </w:p>
        </w:tc>
        <w:tc>
          <w:tcPr>
            <w:tcW w:type="dxa" w:w="1108"/>
            <w:shd w:val="clear" w:color="auto" w:fill="EEF2FF"/>
          </w:tcPr>
          <w:p>
            <w:r/>
            <w:r>
              <w:rPr>
                <w:b/>
                <w:sz w:val="19"/>
              </w:rPr>
              <w:t>Initials</w:t>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r>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c>
          <w:tcPr>
            <w:tcW w:type="dxa" w:w="1108"/>
          </w:tcPr>
          <w:p>
            <w:r/>
            <w:r>
              <w:rPr>
                <w:sz w:val="19"/>
              </w:rPr>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B94A5"/>
        <w:sz w:val="16"/>
      </w:rPr>
      <w:t>Template from WorkIntel Hub (workintelhub.com). Free to use and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