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A0E17"/>
          <w:sz w:val="40"/>
        </w:rPr>
        <w:t>Employee Productivity Tracking Policy</w:t>
      </w:r>
    </w:p>
    <w:p>
      <w:r>
        <w:rPr>
          <w:color w:val="5B6676"/>
          <w:sz w:val="19"/>
        </w:rPr>
        <w:t>Eight-section policy, metrics register, data inventory and employee notice</w:t>
      </w:r>
    </w:p>
    <w:p>
      <w:pPr>
        <w:spacing w:before="200"/>
      </w:pPr>
      <w:r>
        <w:rPr>
          <w:b/>
          <w:color w:val="0B46E0"/>
          <w:sz w:val="26"/>
        </w:rPr>
        <w:t>Employee productivity tracking policy</w:t>
      </w:r>
    </w:p>
    <w:tbl>
      <w:tblPr>
        <w:tblStyle w:val="TableGrid"/>
        <w:tblW w:type="auto" w:w="0"/>
        <w:tblLook w:firstColumn="1" w:firstRow="1" w:lastColumn="0" w:lastRow="0" w:noHBand="0" w:noVBand="1" w:val="04A0"/>
      </w:tblPr>
      <w:tblGrid>
        <w:gridCol w:w="4986"/>
        <w:gridCol w:w="4986"/>
      </w:tblGrid>
      <w:tr>
        <w:tc>
          <w:tcPr>
            <w:tcW w:type="dxa" w:w="3118"/>
            <w:shd w:val="clear" w:color="auto" w:fill="F5F7FA"/>
          </w:tcPr>
          <w:p>
            <w:r/>
            <w:r>
              <w:rPr>
                <w:b/>
                <w:sz w:val="19"/>
              </w:rPr>
              <w:t>Company</w:t>
            </w:r>
          </w:p>
        </w:tc>
        <w:tc>
          <w:tcPr>
            <w:tcW w:type="dxa" w:w="6520"/>
          </w:tcPr>
          <w:p>
            <w:r/>
            <w:r>
              <w:rPr>
                <w:color w:val="8B94A5"/>
                <w:sz w:val="19"/>
              </w:rPr>
            </w:r>
          </w:p>
        </w:tc>
      </w:tr>
      <w:tr>
        <w:tc>
          <w:tcPr>
            <w:tcW w:type="dxa" w:w="3118"/>
            <w:shd w:val="clear" w:color="auto" w:fill="F5F7FA"/>
          </w:tcPr>
          <w:p>
            <w:r/>
            <w:r>
              <w:rPr>
                <w:b/>
                <w:sz w:val="19"/>
              </w:rPr>
              <w:t>Effective date</w:t>
            </w:r>
          </w:p>
        </w:tc>
        <w:tc>
          <w:tcPr>
            <w:tcW w:type="dxa" w:w="6520"/>
          </w:tcPr>
          <w:p>
            <w:r/>
            <w:r>
              <w:rPr>
                <w:color w:val="8B94A5"/>
                <w:sz w:val="19"/>
              </w:rPr>
            </w:r>
          </w:p>
        </w:tc>
      </w:tr>
      <w:tr>
        <w:tc>
          <w:tcPr>
            <w:tcW w:type="dxa" w:w="3118"/>
            <w:shd w:val="clear" w:color="auto" w:fill="F5F7FA"/>
          </w:tcPr>
          <w:p>
            <w:r/>
            <w:r>
              <w:rPr>
                <w:b/>
                <w:sz w:val="19"/>
              </w:rPr>
              <w:t>Owner</w:t>
            </w:r>
          </w:p>
        </w:tc>
        <w:tc>
          <w:tcPr>
            <w:tcW w:type="dxa" w:w="6520"/>
          </w:tcPr>
          <w:p>
            <w:r/>
            <w:r>
              <w:rPr>
                <w:color w:val="8B94A5"/>
                <w:sz w:val="19"/>
              </w:rPr>
            </w:r>
          </w:p>
        </w:tc>
      </w:tr>
      <w:tr>
        <w:tc>
          <w:tcPr>
            <w:tcW w:type="dxa" w:w="3118"/>
            <w:shd w:val="clear" w:color="auto" w:fill="F5F7FA"/>
          </w:tcPr>
          <w:p>
            <w:r/>
            <w:r>
              <w:rPr>
                <w:b/>
                <w:sz w:val="19"/>
              </w:rPr>
              <w:t>Applies to</w:t>
            </w:r>
          </w:p>
        </w:tc>
        <w:tc>
          <w:tcPr>
            <w:tcW w:type="dxa" w:w="6520"/>
          </w:tcPr>
          <w:p>
            <w:r/>
            <w:r>
              <w:rPr>
                <w:color w:val="8B94A5"/>
                <w:sz w:val="19"/>
              </w:rPr>
            </w:r>
          </w:p>
        </w:tc>
      </w:tr>
    </w:tbl>
    <w:p/>
    <w:p>
      <w:pPr>
        <w:spacing w:before="200"/>
      </w:pPr>
      <w:r>
        <w:rPr>
          <w:b/>
          <w:color w:val="0B46E0"/>
          <w:sz w:val="26"/>
        </w:rPr>
        <w:t>1. Purpose</w:t>
      </w:r>
    </w:p>
    <w:p>
      <w:r>
        <w:t>This policy explains what [Company] measures about work, how the data is collected, who can see it and how it is used. Measurement exists to plan capacity, improve processes and support people, not to rank or surveil them.</w:t>
      </w:r>
    </w:p>
    <w:p>
      <w:pPr>
        <w:spacing w:before="200"/>
      </w:pPr>
      <w:r>
        <w:rPr>
          <w:b/>
          <w:color w:val="0B46E0"/>
          <w:sz w:val="26"/>
        </w:rPr>
        <w:t>2. What is measured</w:t>
      </w:r>
    </w:p>
    <w:p>
      <w:r>
        <w:t>Outcome and workload measures agreed with each team and listed in the metrics register: output completed, cycle time, quality, workload and capacity. Activity data from software (application use, active time) is used only in aggregate at team level unless section 5 applies.</w:t>
      </w:r>
    </w:p>
    <w:p>
      <w:pPr>
        <w:spacing w:before="200"/>
      </w:pPr>
      <w:r>
        <w:rPr>
          <w:b/>
          <w:color w:val="0B46E0"/>
          <w:sz w:val="26"/>
        </w:rPr>
        <w:t>3. What is not measured</w:t>
      </w:r>
    </w:p>
    <w:p>
      <w:r>
        <w:t>Keystrokes, screenshots, webcam, private messages, personal accounts, location outside working hours, and anything from personal devices outside a work application. No single measure is used alone to make a decision about pay, discipline or employment.</w:t>
      </w:r>
    </w:p>
    <w:p>
      <w:pPr>
        <w:spacing w:before="200"/>
      </w:pPr>
      <w:r>
        <w:rPr>
          <w:b/>
          <w:color w:val="0B46E0"/>
          <w:sz w:val="26"/>
        </w:rPr>
        <w:t>4. Data collected and retention</w:t>
      </w:r>
    </w:p>
    <w:p>
      <w:r>
        <w:t>The data inventory lists each data element, its source, who can access it and how long it is kept. Activity data is retained for [90] days; aggregate reports for [2] years. Data is deleted on schedule and on request where the law provides.</w:t>
      </w:r>
    </w:p>
    <w:p>
      <w:pPr>
        <w:spacing w:before="200"/>
      </w:pPr>
      <w:r>
        <w:rPr>
          <w:b/>
          <w:color w:val="0B46E0"/>
          <w:sz w:val="26"/>
        </w:rPr>
        <w:t>5. Individual-level review</w:t>
      </w:r>
    </w:p>
    <w:p>
      <w:r>
        <w:t>Individual activity data is reviewed only with HR approval, for a stated reason (investigation, accommodation, the employee's own request), with the employee informed, and documented.</w:t>
      </w:r>
    </w:p>
    <w:p>
      <w:pPr>
        <w:spacing w:before="200"/>
      </w:pPr>
      <w:r>
        <w:rPr>
          <w:b/>
          <w:color w:val="0B46E0"/>
          <w:sz w:val="26"/>
        </w:rPr>
        <w:t>6. Notice and acknowledgement</w:t>
      </w:r>
    </w:p>
    <w:p>
      <w:r>
        <w:t>Employees receive this policy and a notice of the tools in use on hire and when tools change. In New York, Connecticut and Delaware, written notice is given and acknowledged as the law requires. Location or biometric data requires separate consent where state law applies.</w:t>
      </w:r>
    </w:p>
    <w:p>
      <w:pPr>
        <w:spacing w:before="200"/>
      </w:pPr>
      <w:r>
        <w:rPr>
          <w:b/>
          <w:color w:val="0B46E0"/>
          <w:sz w:val="26"/>
        </w:rPr>
        <w:t>7. Employee rights</w:t>
      </w:r>
    </w:p>
    <w:p>
      <w:r>
        <w:t>Employees may see the data held about them, correct errors, ask how a measure was calculated, and raise concerns without retaliation. Measures are reviewed with teams quarterly.</w:t>
      </w:r>
    </w:p>
    <w:p>
      <w:pPr>
        <w:spacing w:before="200"/>
      </w:pPr>
      <w:r>
        <w:rPr>
          <w:b/>
          <w:color w:val="0B46E0"/>
          <w:sz w:val="26"/>
        </w:rPr>
        <w:t>8. Governance</w:t>
      </w:r>
    </w:p>
    <w:p>
      <w:r>
        <w:t>The metrics register and data inventory are owned by [HR / Operations] and reviewed annually and when tools change. Managers are trained on this policy before receiving reports.</w:t>
      </w:r>
    </w:p>
    <w:p/>
    <w:p>
      <w:r>
        <w:t>Employee: ____________________________________________    Date: ______________</w:t>
      </w:r>
    </w:p>
    <w:p>
      <w:r>
        <w:t>HR: ____________________________________________    Date: ______________</w:t>
      </w:r>
    </w:p>
    <w:p>
      <w:r>
        <w:br w:type="page"/>
      </w:r>
    </w:p>
    <w:p>
      <w:pPr>
        <w:spacing w:before="200"/>
      </w:pPr>
      <w:r>
        <w:rPr>
          <w:b/>
          <w:color w:val="0B46E0"/>
          <w:sz w:val="26"/>
        </w:rPr>
        <w:t>Metrics register</w:t>
      </w:r>
    </w:p>
    <w:tbl>
      <w:tblPr>
        <w:tblStyle w:val="TableGrid"/>
        <w:tblW w:type="auto" w:w="0"/>
        <w:jc w:val="center"/>
        <w:tblLook w:firstColumn="1" w:firstRow="1" w:lastColumn="0" w:lastRow="0" w:noHBand="0" w:noVBand="1" w:val="04A0"/>
      </w:tblPr>
      <w:tblGrid>
        <w:gridCol w:w="1246"/>
        <w:gridCol w:w="1246"/>
        <w:gridCol w:w="1246"/>
        <w:gridCol w:w="1246"/>
        <w:gridCol w:w="1246"/>
        <w:gridCol w:w="1246"/>
        <w:gridCol w:w="1246"/>
        <w:gridCol w:w="1246"/>
      </w:tblGrid>
      <w:tr>
        <w:tc>
          <w:tcPr>
            <w:tcW w:type="dxa" w:w="1246"/>
            <w:shd w:val="clear" w:color="auto" w:fill="EEF2FF"/>
          </w:tcPr>
          <w:p>
            <w:r/>
            <w:r>
              <w:rPr>
                <w:b/>
                <w:sz w:val="19"/>
              </w:rPr>
              <w:t>Metric</w:t>
            </w:r>
          </w:p>
        </w:tc>
        <w:tc>
          <w:tcPr>
            <w:tcW w:type="dxa" w:w="1246"/>
            <w:shd w:val="clear" w:color="auto" w:fill="EEF2FF"/>
          </w:tcPr>
          <w:p>
            <w:r/>
            <w:r>
              <w:rPr>
                <w:b/>
                <w:sz w:val="19"/>
              </w:rPr>
              <w:t>Team</w:t>
            </w:r>
          </w:p>
        </w:tc>
        <w:tc>
          <w:tcPr>
            <w:tcW w:type="dxa" w:w="1246"/>
            <w:shd w:val="clear" w:color="auto" w:fill="EEF2FF"/>
          </w:tcPr>
          <w:p>
            <w:r/>
            <w:r>
              <w:rPr>
                <w:b/>
                <w:sz w:val="19"/>
              </w:rPr>
              <w:t>Definition</w:t>
            </w:r>
          </w:p>
        </w:tc>
        <w:tc>
          <w:tcPr>
            <w:tcW w:type="dxa" w:w="1246"/>
            <w:shd w:val="clear" w:color="auto" w:fill="EEF2FF"/>
          </w:tcPr>
          <w:p>
            <w:r/>
            <w:r>
              <w:rPr>
                <w:b/>
                <w:sz w:val="19"/>
              </w:rPr>
              <w:t>Source</w:t>
            </w:r>
          </w:p>
        </w:tc>
        <w:tc>
          <w:tcPr>
            <w:tcW w:type="dxa" w:w="1246"/>
            <w:shd w:val="clear" w:color="auto" w:fill="EEF2FF"/>
          </w:tcPr>
          <w:p>
            <w:r/>
            <w:r>
              <w:rPr>
                <w:b/>
                <w:sz w:val="19"/>
              </w:rPr>
              <w:t>Purpose</w:t>
            </w:r>
          </w:p>
        </w:tc>
        <w:tc>
          <w:tcPr>
            <w:tcW w:type="dxa" w:w="1246"/>
            <w:shd w:val="clear" w:color="auto" w:fill="EEF2FF"/>
          </w:tcPr>
          <w:p>
            <w:r/>
            <w:r>
              <w:rPr>
                <w:b/>
                <w:sz w:val="19"/>
              </w:rPr>
              <w:t>Level (individual / team)</w:t>
            </w:r>
          </w:p>
        </w:tc>
        <w:tc>
          <w:tcPr>
            <w:tcW w:type="dxa" w:w="1246"/>
            <w:shd w:val="clear" w:color="auto" w:fill="EEF2FF"/>
          </w:tcPr>
          <w:p>
            <w:r/>
            <w:r>
              <w:rPr>
                <w:b/>
                <w:sz w:val="19"/>
              </w:rPr>
              <w:t>Owner</w:t>
            </w:r>
          </w:p>
        </w:tc>
        <w:tc>
          <w:tcPr>
            <w:tcW w:type="dxa" w:w="1246"/>
            <w:shd w:val="clear" w:color="auto" w:fill="EEF2FF"/>
          </w:tcPr>
          <w:p>
            <w:r/>
            <w:r>
              <w:rPr>
                <w:b/>
                <w:sz w:val="19"/>
              </w:rPr>
              <w:t>Reviewed</w:t>
            </w:r>
          </w:p>
        </w:tc>
      </w:tr>
      <w:tr>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r>
      <w:tr>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r>
      <w:tr>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r>
      <w:tr>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r>
      <w:tr>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r>
      <w:tr>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r>
      <w:tr>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r>
      <w:tr>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r>
      <w:tr>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r>
      <w:tr>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r>
    </w:tbl>
    <w:p/>
    <w:p>
      <w:pPr>
        <w:spacing w:before="200"/>
      </w:pPr>
      <w:r>
        <w:rPr>
          <w:b/>
          <w:color w:val="0B46E0"/>
          <w:sz w:val="26"/>
        </w:rPr>
        <w:t>Data inventory</w:t>
      </w:r>
    </w:p>
    <w:tbl>
      <w:tblPr>
        <w:tblStyle w:val="TableGrid"/>
        <w:tblW w:type="auto" w:w="0"/>
        <w:jc w:val="center"/>
        <w:tblLook w:firstColumn="1" w:firstRow="1" w:lastColumn="0" w:lastRow="0" w:noHBand="0" w:noVBand="1" w:val="04A0"/>
      </w:tblPr>
      <w:tblGrid>
        <w:gridCol w:w="1425"/>
        <w:gridCol w:w="1425"/>
        <w:gridCol w:w="1425"/>
        <w:gridCol w:w="1425"/>
        <w:gridCol w:w="1425"/>
        <w:gridCol w:w="1425"/>
        <w:gridCol w:w="1425"/>
      </w:tblGrid>
      <w:tr>
        <w:tc>
          <w:tcPr>
            <w:tcW w:type="dxa" w:w="1425"/>
            <w:shd w:val="clear" w:color="auto" w:fill="EEF2FF"/>
          </w:tcPr>
          <w:p>
            <w:r/>
            <w:r>
              <w:rPr>
                <w:b/>
                <w:sz w:val="19"/>
              </w:rPr>
              <w:t>Data element</w:t>
            </w:r>
          </w:p>
        </w:tc>
        <w:tc>
          <w:tcPr>
            <w:tcW w:type="dxa" w:w="1425"/>
            <w:shd w:val="clear" w:color="auto" w:fill="EEF2FF"/>
          </w:tcPr>
          <w:p>
            <w:r/>
            <w:r>
              <w:rPr>
                <w:b/>
                <w:sz w:val="19"/>
              </w:rPr>
              <w:t>Tool</w:t>
            </w:r>
          </w:p>
        </w:tc>
        <w:tc>
          <w:tcPr>
            <w:tcW w:type="dxa" w:w="1425"/>
            <w:shd w:val="clear" w:color="auto" w:fill="EEF2FF"/>
          </w:tcPr>
          <w:p>
            <w:r/>
            <w:r>
              <w:rPr>
                <w:b/>
                <w:sz w:val="19"/>
              </w:rPr>
              <w:t>Who can access</w:t>
            </w:r>
          </w:p>
        </w:tc>
        <w:tc>
          <w:tcPr>
            <w:tcW w:type="dxa" w:w="1425"/>
            <w:shd w:val="clear" w:color="auto" w:fill="EEF2FF"/>
          </w:tcPr>
          <w:p>
            <w:r/>
            <w:r>
              <w:rPr>
                <w:b/>
                <w:sz w:val="19"/>
              </w:rPr>
              <w:t>Retention</w:t>
            </w:r>
          </w:p>
        </w:tc>
        <w:tc>
          <w:tcPr>
            <w:tcW w:type="dxa" w:w="1425"/>
            <w:shd w:val="clear" w:color="auto" w:fill="EEF2FF"/>
          </w:tcPr>
          <w:p>
            <w:r/>
            <w:r>
              <w:rPr>
                <w:b/>
                <w:sz w:val="19"/>
              </w:rPr>
              <w:t>Individual-level? (Y/N)</w:t>
            </w:r>
          </w:p>
        </w:tc>
        <w:tc>
          <w:tcPr>
            <w:tcW w:type="dxa" w:w="1425"/>
            <w:shd w:val="clear" w:color="auto" w:fill="EEF2FF"/>
          </w:tcPr>
          <w:p>
            <w:r/>
            <w:r>
              <w:rPr>
                <w:b/>
                <w:sz w:val="19"/>
              </w:rPr>
              <w:t>Notice or consent required</w:t>
            </w:r>
          </w:p>
        </w:tc>
        <w:tc>
          <w:tcPr>
            <w:tcW w:type="dxa" w:w="1425"/>
            <w:shd w:val="clear" w:color="auto" w:fill="EEF2FF"/>
          </w:tcPr>
          <w:p>
            <w:r/>
            <w:r>
              <w:rPr>
                <w:b/>
                <w:sz w:val="19"/>
              </w:rPr>
              <w:t>Owner</w:t>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bl>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8B94A5"/>
        <w:sz w:val="16"/>
      </w:rPr>
      <w:t>Template from WorkIntel Hub (workintelhub.com). Free to use and adapt.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