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Timesheet Templates</w:t>
      </w:r>
    </w:p>
    <w:p>
      <w:r>
        <w:rPr>
          <w:color w:val="5B6676"/>
          <w:sz w:val="19"/>
        </w:rPr>
        <w:t>Weekly, biweekly, monthly, project and overtime</w:t>
      </w:r>
    </w:p>
    <w:p>
      <w:r>
        <w:t>Five timesheets: weekly, biweekly, monthly, project and overtime. Record times to the minute; rounding is lawful only where it is neutral over time.</w:t>
      </w:r>
    </w:p>
    <w:p>
      <w:pPr>
        <w:spacing w:before="200"/>
      </w:pPr>
      <w:r>
        <w:rPr>
          <w:b/>
          <w:color w:val="0B46E0"/>
          <w:sz w:val="26"/>
        </w:rPr>
        <w:t>Weekly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ending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Break (min)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Monday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Tuesday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Wednesday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Thursday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Friday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Saturday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Sunday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Regular hours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Overtime hours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Over 40 in the workweek; daily in CA, AK, NV, CO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Biweekly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Pay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Break (min)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Code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Monthly timesheet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 worked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PTO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Sick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Holiday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Project timesheet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Billable?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Overtime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Regular 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Overtime 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Rate (1.5x / 2x)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Approved by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